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3EA9" w14:textId="2034C900" w:rsidR="00192EA1" w:rsidRPr="00B65B01" w:rsidRDefault="00B544D1" w:rsidP="00192E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6F43D5">
        <w:rPr>
          <w:b/>
          <w:sz w:val="28"/>
          <w:szCs w:val="28"/>
          <w:u w:val="single"/>
        </w:rPr>
        <w:t>4</w:t>
      </w:r>
      <w:r w:rsidR="00934D84">
        <w:rPr>
          <w:b/>
          <w:sz w:val="28"/>
          <w:szCs w:val="28"/>
          <w:u w:val="single"/>
        </w:rPr>
        <w:t xml:space="preserve"> </w:t>
      </w:r>
      <w:r w:rsidR="00192EA1" w:rsidRPr="00B65B01">
        <w:rPr>
          <w:b/>
          <w:sz w:val="28"/>
          <w:szCs w:val="28"/>
          <w:u w:val="single"/>
        </w:rPr>
        <w:t>Fees and Dues</w:t>
      </w:r>
    </w:p>
    <w:p w14:paraId="7E3C7E41" w14:textId="77777777" w:rsidR="00466044" w:rsidRDefault="00B6178C" w:rsidP="00192E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SGCE</w:t>
      </w:r>
      <w:r w:rsidR="00934D84">
        <w:rPr>
          <w:b/>
          <w:sz w:val="28"/>
          <w:szCs w:val="28"/>
          <w:u w:val="single"/>
        </w:rPr>
        <w:t xml:space="preserve"> and t</w:t>
      </w:r>
      <w:r w:rsidR="00192EA1" w:rsidRPr="00B65B01">
        <w:rPr>
          <w:b/>
          <w:sz w:val="28"/>
          <w:szCs w:val="28"/>
          <w:u w:val="single"/>
        </w:rPr>
        <w:t xml:space="preserve">he Province of Yorkshire West Riding </w:t>
      </w:r>
    </w:p>
    <w:p w14:paraId="71C491E6" w14:textId="77777777" w:rsidR="0094452F" w:rsidRPr="00B65B01" w:rsidRDefault="0094452F" w:rsidP="00192EA1">
      <w:pPr>
        <w:jc w:val="center"/>
        <w:rPr>
          <w:b/>
          <w:sz w:val="28"/>
          <w:szCs w:val="28"/>
          <w:u w:val="single"/>
        </w:rPr>
      </w:pPr>
    </w:p>
    <w:p w14:paraId="02DED4D8" w14:textId="33ADBEB1" w:rsidR="00937DEA" w:rsidRDefault="00D015F5" w:rsidP="00EA1A78">
      <w:r>
        <w:rPr>
          <w:b/>
          <w:u w:val="single"/>
        </w:rPr>
        <w:t>Registration Fees</w:t>
      </w:r>
      <w:r w:rsidRPr="00D015F5">
        <w:rPr>
          <w:b/>
        </w:rPr>
        <w:t xml:space="preserve"> </w:t>
      </w:r>
      <w:r w:rsidRPr="003C3374">
        <w:t>(inclusive of vat)</w:t>
      </w:r>
    </w:p>
    <w:p w14:paraId="69FD1402" w14:textId="7D56BEBD" w:rsidR="00D433EE" w:rsidRDefault="00937DEA" w:rsidP="00937DEA">
      <w:r w:rsidRPr="00000437">
        <w:t>The Registration Fee is payable upon Exaltation. Both payments (</w:t>
      </w:r>
      <w:r w:rsidR="00D433EE">
        <w:t>SGCE</w:t>
      </w:r>
      <w:r w:rsidRPr="00000437">
        <w:t xml:space="preserve"> and PG</w:t>
      </w:r>
      <w:r w:rsidR="00D433EE">
        <w:t>C</w:t>
      </w:r>
      <w:r w:rsidRPr="00000437">
        <w:t xml:space="preserve">) should be paid by BACS and the reference and date of the transfer recorded on the final page of the Form P. </w:t>
      </w:r>
      <w:r w:rsidR="00D433EE">
        <w:t xml:space="preserve"> </w:t>
      </w:r>
      <w:r w:rsidR="00D433EE">
        <w:t xml:space="preserve">The </w:t>
      </w:r>
      <w:r w:rsidR="00D433EE">
        <w:t>SGCE</w:t>
      </w:r>
      <w:r w:rsidR="00D433EE">
        <w:t xml:space="preserve"> payment should be made to them using Sort Code 20-32-</w:t>
      </w:r>
      <w:r w:rsidR="00D433EE">
        <w:t>37</w:t>
      </w:r>
      <w:r w:rsidR="00D433EE">
        <w:t xml:space="preserve">, Account number </w:t>
      </w:r>
      <w:r w:rsidR="00D433EE">
        <w:t>70875104</w:t>
      </w:r>
      <w:r w:rsidR="00D433EE">
        <w:t xml:space="preserve"> and the PG</w:t>
      </w:r>
      <w:r w:rsidR="00D433EE">
        <w:t>C</w:t>
      </w:r>
      <w:r w:rsidR="00D433EE">
        <w:t xml:space="preserve"> to Sort Code 40-13-15, Account number </w:t>
      </w:r>
      <w:r w:rsidR="00D433EE">
        <w:t>04209532</w:t>
      </w:r>
      <w:r w:rsidR="00D433EE">
        <w:t>.</w:t>
      </w:r>
    </w:p>
    <w:p w14:paraId="6600A023" w14:textId="2B795D4D" w:rsidR="00937DEA" w:rsidRPr="003C3374" w:rsidRDefault="00937DEA" w:rsidP="00937DEA">
      <w:r w:rsidRPr="00000437">
        <w:t>The Form P must be sent to the PROVINCIAL OFFICE for pre-registration.</w:t>
      </w:r>
    </w:p>
    <w:p w14:paraId="2818FC5D" w14:textId="1DE6B85A" w:rsidR="00D015F5" w:rsidRPr="003C3374" w:rsidRDefault="007A130B" w:rsidP="00EA1A78">
      <w:r>
        <w:t xml:space="preserve">No fees are required for Joiners or </w:t>
      </w:r>
      <w:r w:rsidR="00FB11F8">
        <w:t>Re-Joining Members.</w:t>
      </w:r>
    </w:p>
    <w:p w14:paraId="61964690" w14:textId="77777777" w:rsidR="003C3374" w:rsidRDefault="003C3374" w:rsidP="00EA1A78">
      <w:r w:rsidRPr="003C3374">
        <w:t>Th</w:t>
      </w:r>
      <w:r w:rsidR="00CB142D">
        <w:t>is</w:t>
      </w:r>
      <w:r w:rsidRPr="003C3374">
        <w:t xml:space="preserve"> fee </w:t>
      </w:r>
      <w:r w:rsidR="00CB142D">
        <w:t xml:space="preserve">is also </w:t>
      </w:r>
      <w:r w:rsidRPr="003C3374">
        <w:t>appli</w:t>
      </w:r>
      <w:r w:rsidR="00CB142D">
        <w:t>cable</w:t>
      </w:r>
      <w:r w:rsidRPr="003C3374">
        <w:t xml:space="preserve"> to an Individual joining a </w:t>
      </w:r>
      <w:r w:rsidR="00B6178C">
        <w:t>Chapter</w:t>
      </w:r>
      <w:r w:rsidRPr="003C3374">
        <w:t xml:space="preserve"> from a Foreign Constitution</w:t>
      </w:r>
      <w:r w:rsidR="00934D84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</w:tblGrid>
      <w:tr w:rsidR="006F43D5" w:rsidRPr="00EA1A78" w14:paraId="16E031F0" w14:textId="10E0822C" w:rsidTr="001D0FF0">
        <w:tc>
          <w:tcPr>
            <w:tcW w:w="1838" w:type="dxa"/>
          </w:tcPr>
          <w:p w14:paraId="5D1DE6CA" w14:textId="77777777" w:rsidR="006F43D5" w:rsidRDefault="006F43D5" w:rsidP="00E15B1D">
            <w:pPr>
              <w:jc w:val="center"/>
            </w:pPr>
          </w:p>
        </w:tc>
        <w:tc>
          <w:tcPr>
            <w:tcW w:w="2268" w:type="dxa"/>
          </w:tcPr>
          <w:p w14:paraId="183A7D28" w14:textId="41464930" w:rsidR="006F43D5" w:rsidRDefault="006F43D5" w:rsidP="00E15B1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2023</w:t>
            </w:r>
          </w:p>
        </w:tc>
        <w:tc>
          <w:tcPr>
            <w:tcW w:w="2268" w:type="dxa"/>
          </w:tcPr>
          <w:p w14:paraId="0FEE9ECA" w14:textId="75EE4D07" w:rsidR="006F43D5" w:rsidRDefault="006F43D5" w:rsidP="00E15B1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2024</w:t>
            </w:r>
          </w:p>
        </w:tc>
      </w:tr>
      <w:tr w:rsidR="006F43D5" w:rsidRPr="00B65B01" w14:paraId="0642673B" w14:textId="504E65D4" w:rsidTr="001D0FF0">
        <w:tc>
          <w:tcPr>
            <w:tcW w:w="1838" w:type="dxa"/>
          </w:tcPr>
          <w:p w14:paraId="31E885D3" w14:textId="77777777" w:rsidR="006F43D5" w:rsidRPr="00EA1A78" w:rsidRDefault="006F43D5" w:rsidP="00E15B1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SGCE Royal Arch</w:t>
            </w:r>
          </w:p>
        </w:tc>
        <w:tc>
          <w:tcPr>
            <w:tcW w:w="2268" w:type="dxa"/>
          </w:tcPr>
          <w:p w14:paraId="75A9983E" w14:textId="78EFE593" w:rsidR="006F43D5" w:rsidRDefault="006F43D5" w:rsidP="00E15B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£37.80</w:t>
            </w:r>
          </w:p>
        </w:tc>
        <w:tc>
          <w:tcPr>
            <w:tcW w:w="2268" w:type="dxa"/>
          </w:tcPr>
          <w:p w14:paraId="6AA54390" w14:textId="45FFEDCC" w:rsidR="006F43D5" w:rsidRDefault="006F43D5" w:rsidP="00E15B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£42</w:t>
            </w:r>
          </w:p>
        </w:tc>
      </w:tr>
      <w:tr w:rsidR="006F43D5" w:rsidRPr="00B65B01" w14:paraId="4AC48868" w14:textId="611DEB70" w:rsidTr="001D0FF0">
        <w:tc>
          <w:tcPr>
            <w:tcW w:w="1838" w:type="dxa"/>
          </w:tcPr>
          <w:p w14:paraId="3C7EFAB5" w14:textId="77777777" w:rsidR="006F43D5" w:rsidRDefault="006F43D5" w:rsidP="00E15B1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PGC Royal Arch</w:t>
            </w:r>
          </w:p>
        </w:tc>
        <w:tc>
          <w:tcPr>
            <w:tcW w:w="2268" w:type="dxa"/>
          </w:tcPr>
          <w:p w14:paraId="22E51E34" w14:textId="2E83E0B9" w:rsidR="006F43D5" w:rsidRDefault="006F43D5" w:rsidP="00E15B1D">
            <w:pPr>
              <w:jc w:val="center"/>
              <w:rPr>
                <w:color w:val="FF0000"/>
              </w:rPr>
            </w:pPr>
            <w:r w:rsidRPr="005232F7">
              <w:rPr>
                <w:color w:val="FF0000"/>
              </w:rPr>
              <w:t>£12.00</w:t>
            </w:r>
          </w:p>
        </w:tc>
        <w:tc>
          <w:tcPr>
            <w:tcW w:w="2268" w:type="dxa"/>
          </w:tcPr>
          <w:p w14:paraId="53DE18C1" w14:textId="390E2F46" w:rsidR="006F43D5" w:rsidRPr="005232F7" w:rsidRDefault="006F43D5" w:rsidP="00E15B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£12</w:t>
            </w:r>
          </w:p>
        </w:tc>
      </w:tr>
    </w:tbl>
    <w:p w14:paraId="70B1DD9D" w14:textId="77777777" w:rsidR="00D015F5" w:rsidRDefault="00D015F5" w:rsidP="00EA1A78">
      <w:pPr>
        <w:rPr>
          <w:b/>
          <w:u w:val="single"/>
        </w:rPr>
      </w:pPr>
    </w:p>
    <w:p w14:paraId="728FB616" w14:textId="77777777" w:rsidR="00192EA1" w:rsidRPr="00CB142D" w:rsidRDefault="00EA1A78" w:rsidP="00EA1A78">
      <w:r w:rsidRPr="00B65B01">
        <w:rPr>
          <w:b/>
          <w:u w:val="single"/>
        </w:rPr>
        <w:t>Annual Dues</w:t>
      </w:r>
      <w:r>
        <w:rPr>
          <w:b/>
        </w:rPr>
        <w:t xml:space="preserve"> </w:t>
      </w:r>
      <w:r w:rsidRPr="00CB142D">
        <w:t>(inclusive of vat)</w:t>
      </w:r>
    </w:p>
    <w:p w14:paraId="0E49531F" w14:textId="77777777" w:rsidR="00EA1A78" w:rsidRPr="00D015F5" w:rsidRDefault="00EA1A78" w:rsidP="00EA1A78">
      <w:r w:rsidRPr="00D015F5">
        <w:t xml:space="preserve">The </w:t>
      </w:r>
      <w:r w:rsidR="00934D84">
        <w:t>Annual Dues are payable</w:t>
      </w:r>
      <w:r w:rsidRPr="00D015F5">
        <w:t xml:space="preserve"> at the </w:t>
      </w:r>
      <w:r w:rsidR="00934D84">
        <w:t xml:space="preserve">Chapter year </w:t>
      </w:r>
      <w:r w:rsidRPr="00D015F5">
        <w:t>end, they are paid in arrears.</w:t>
      </w:r>
    </w:p>
    <w:p w14:paraId="2E0679BF" w14:textId="77777777" w:rsidR="00EA1A78" w:rsidRPr="00D015F5" w:rsidRDefault="00EA1A78" w:rsidP="00EA1A78">
      <w:r w:rsidRPr="00D015F5">
        <w:t xml:space="preserve">The fees apply to any individual </w:t>
      </w:r>
      <w:r w:rsidRPr="00D015F5">
        <w:rPr>
          <w:b/>
          <w:color w:val="CC3399"/>
          <w:u w:val="single"/>
        </w:rPr>
        <w:t>WHO IS or HAS BEEN</w:t>
      </w:r>
      <w:r w:rsidRPr="00D015F5">
        <w:t xml:space="preserve"> a member during the year</w:t>
      </w:r>
      <w:r w:rsidR="00934D84">
        <w:t>, irrespective of resignation or death etc</w:t>
      </w:r>
      <w:r w:rsidRPr="00D015F5">
        <w:t>.</w:t>
      </w:r>
    </w:p>
    <w:tbl>
      <w:tblPr>
        <w:tblStyle w:val="TableGrid"/>
        <w:tblW w:w="4672" w:type="dxa"/>
        <w:tblLook w:val="04A0" w:firstRow="1" w:lastRow="0" w:firstColumn="1" w:lastColumn="0" w:noHBand="0" w:noVBand="1"/>
      </w:tblPr>
      <w:tblGrid>
        <w:gridCol w:w="1838"/>
        <w:gridCol w:w="1417"/>
        <w:gridCol w:w="1417"/>
      </w:tblGrid>
      <w:tr w:rsidR="006F43D5" w14:paraId="6EB01A89" w14:textId="0799880F" w:rsidTr="006F43D5">
        <w:tc>
          <w:tcPr>
            <w:tcW w:w="1838" w:type="dxa"/>
          </w:tcPr>
          <w:p w14:paraId="497951AE" w14:textId="77777777" w:rsidR="006F43D5" w:rsidRDefault="006F43D5" w:rsidP="00192EA1">
            <w:pPr>
              <w:jc w:val="center"/>
            </w:pPr>
          </w:p>
        </w:tc>
        <w:tc>
          <w:tcPr>
            <w:tcW w:w="1417" w:type="dxa"/>
          </w:tcPr>
          <w:p w14:paraId="4CE4557A" w14:textId="1B753C4E" w:rsidR="006F43D5" w:rsidRDefault="006F43D5" w:rsidP="00192EA1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2023</w:t>
            </w:r>
          </w:p>
        </w:tc>
        <w:tc>
          <w:tcPr>
            <w:tcW w:w="1417" w:type="dxa"/>
          </w:tcPr>
          <w:p w14:paraId="28056E2F" w14:textId="58B3CCB6" w:rsidR="006F43D5" w:rsidRDefault="006F43D5" w:rsidP="00192EA1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  <w:r w:rsidR="00515658">
              <w:rPr>
                <w:b/>
                <w:color w:val="00B050"/>
              </w:rPr>
              <w:t>024</w:t>
            </w:r>
          </w:p>
        </w:tc>
      </w:tr>
      <w:tr w:rsidR="006F43D5" w14:paraId="58FF9311" w14:textId="7360C688" w:rsidTr="006F43D5">
        <w:tc>
          <w:tcPr>
            <w:tcW w:w="1838" w:type="dxa"/>
          </w:tcPr>
          <w:p w14:paraId="74F6E537" w14:textId="77777777" w:rsidR="006F43D5" w:rsidRPr="00EA1A78" w:rsidRDefault="006F43D5" w:rsidP="00192EA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SGCE Royal Arch</w:t>
            </w:r>
          </w:p>
        </w:tc>
        <w:tc>
          <w:tcPr>
            <w:tcW w:w="1417" w:type="dxa"/>
          </w:tcPr>
          <w:p w14:paraId="118290F4" w14:textId="2A8AAF7D" w:rsidR="006F43D5" w:rsidRDefault="006F43D5" w:rsidP="00790F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£6.50</w:t>
            </w:r>
          </w:p>
        </w:tc>
        <w:tc>
          <w:tcPr>
            <w:tcW w:w="1417" w:type="dxa"/>
          </w:tcPr>
          <w:p w14:paraId="62AD37DB" w14:textId="64DC5A90" w:rsidR="006F43D5" w:rsidRDefault="006F43D5" w:rsidP="00790F7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£9.00</w:t>
            </w:r>
          </w:p>
        </w:tc>
      </w:tr>
      <w:tr w:rsidR="006F43D5" w14:paraId="479033D4" w14:textId="2A44AE7E" w:rsidTr="006F43D5">
        <w:tc>
          <w:tcPr>
            <w:tcW w:w="1838" w:type="dxa"/>
          </w:tcPr>
          <w:p w14:paraId="5FB9D661" w14:textId="77777777" w:rsidR="006F43D5" w:rsidRDefault="006F43D5" w:rsidP="00192EA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PGC Royal Arch</w:t>
            </w:r>
          </w:p>
        </w:tc>
        <w:tc>
          <w:tcPr>
            <w:tcW w:w="1417" w:type="dxa"/>
          </w:tcPr>
          <w:p w14:paraId="2388862D" w14:textId="0011CFF2" w:rsidR="006F43D5" w:rsidRDefault="006F43D5" w:rsidP="00192E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£8.00</w:t>
            </w:r>
          </w:p>
        </w:tc>
        <w:tc>
          <w:tcPr>
            <w:tcW w:w="1417" w:type="dxa"/>
          </w:tcPr>
          <w:p w14:paraId="27E6DAC3" w14:textId="2B99090C" w:rsidR="006F43D5" w:rsidRDefault="006F43D5" w:rsidP="00192E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£8.00</w:t>
            </w:r>
          </w:p>
        </w:tc>
      </w:tr>
    </w:tbl>
    <w:p w14:paraId="022130CC" w14:textId="77777777" w:rsidR="00192EA1" w:rsidRDefault="00192EA1" w:rsidP="00192EA1">
      <w:pPr>
        <w:jc w:val="center"/>
      </w:pPr>
    </w:p>
    <w:p w14:paraId="4E59C159" w14:textId="77777777" w:rsidR="00D015F5" w:rsidRDefault="00D015F5" w:rsidP="00D015F5">
      <w:r w:rsidRPr="00D015F5">
        <w:rPr>
          <w:b/>
          <w:u w:val="single"/>
        </w:rPr>
        <w:t>Fee for Replacement Certificate</w:t>
      </w:r>
      <w:r>
        <w:t xml:space="preserve"> (inclusive of vat)</w:t>
      </w:r>
    </w:p>
    <w:p w14:paraId="645B58DC" w14:textId="77777777" w:rsidR="004357EC" w:rsidRPr="00D015F5" w:rsidRDefault="004357EC" w:rsidP="00D015F5">
      <w:r>
        <w:t xml:space="preserve">Replacement of lost/damaged certificates or endorsement of </w:t>
      </w:r>
      <w:r w:rsidR="00B6178C">
        <w:t>SGCE</w:t>
      </w:r>
      <w:r>
        <w:t xml:space="preserve"> Certificate.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2374"/>
        <w:gridCol w:w="2374"/>
      </w:tblGrid>
      <w:tr w:rsidR="0079625A" w:rsidRPr="00EA1A78" w14:paraId="03A9C26E" w14:textId="5B9E7E51" w:rsidTr="008027C1">
        <w:tc>
          <w:tcPr>
            <w:tcW w:w="1824" w:type="dxa"/>
          </w:tcPr>
          <w:p w14:paraId="1F6CE57D" w14:textId="77777777" w:rsidR="0079625A" w:rsidRDefault="0079625A" w:rsidP="00E15B1D">
            <w:pPr>
              <w:jc w:val="center"/>
            </w:pPr>
          </w:p>
        </w:tc>
        <w:tc>
          <w:tcPr>
            <w:tcW w:w="2374" w:type="dxa"/>
          </w:tcPr>
          <w:p w14:paraId="24F26F6F" w14:textId="12CDCDC0" w:rsidR="0079625A" w:rsidRDefault="0079625A" w:rsidP="00E15B1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2023</w:t>
            </w:r>
          </w:p>
        </w:tc>
        <w:tc>
          <w:tcPr>
            <w:tcW w:w="2374" w:type="dxa"/>
          </w:tcPr>
          <w:p w14:paraId="6A60BFBE" w14:textId="377212A1" w:rsidR="0079625A" w:rsidRDefault="0079625A" w:rsidP="00E15B1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2024</w:t>
            </w:r>
          </w:p>
        </w:tc>
      </w:tr>
      <w:tr w:rsidR="0079625A" w:rsidRPr="00B65B01" w14:paraId="5A5728CB" w14:textId="1CA8BF75" w:rsidTr="008027C1">
        <w:tc>
          <w:tcPr>
            <w:tcW w:w="1824" w:type="dxa"/>
          </w:tcPr>
          <w:p w14:paraId="2294A5EB" w14:textId="77777777" w:rsidR="0079625A" w:rsidRPr="00EA1A78" w:rsidRDefault="0079625A" w:rsidP="00530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SGCE Royal Arch</w:t>
            </w:r>
          </w:p>
        </w:tc>
        <w:tc>
          <w:tcPr>
            <w:tcW w:w="2374" w:type="dxa"/>
          </w:tcPr>
          <w:p w14:paraId="73C15141" w14:textId="5B617632" w:rsidR="0079625A" w:rsidRDefault="0079625A" w:rsidP="00E15B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£61.20</w:t>
            </w:r>
          </w:p>
        </w:tc>
        <w:tc>
          <w:tcPr>
            <w:tcW w:w="2374" w:type="dxa"/>
          </w:tcPr>
          <w:p w14:paraId="10C5A068" w14:textId="0E771BA6" w:rsidR="0079625A" w:rsidRDefault="0079625A" w:rsidP="00E15B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£67.80</w:t>
            </w:r>
          </w:p>
        </w:tc>
      </w:tr>
    </w:tbl>
    <w:p w14:paraId="5CC4C917" w14:textId="77777777" w:rsidR="00192EA1" w:rsidRDefault="00192EA1" w:rsidP="00192EA1">
      <w:pPr>
        <w:jc w:val="center"/>
      </w:pPr>
    </w:p>
    <w:p w14:paraId="04634CED" w14:textId="77777777" w:rsidR="00D015F5" w:rsidRDefault="00D015F5" w:rsidP="00192EA1">
      <w:pPr>
        <w:jc w:val="center"/>
      </w:pPr>
    </w:p>
    <w:p w14:paraId="708AE434" w14:textId="77777777" w:rsidR="00192EA1" w:rsidRDefault="00192EA1" w:rsidP="00192EA1">
      <w:pPr>
        <w:jc w:val="center"/>
      </w:pPr>
    </w:p>
    <w:sectPr w:rsidR="00192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A1"/>
    <w:rsid w:val="00000437"/>
    <w:rsid w:val="0002478D"/>
    <w:rsid w:val="0007151A"/>
    <w:rsid w:val="000A43AF"/>
    <w:rsid w:val="000A5F10"/>
    <w:rsid w:val="00192EA1"/>
    <w:rsid w:val="00193D6E"/>
    <w:rsid w:val="002A4186"/>
    <w:rsid w:val="00354201"/>
    <w:rsid w:val="003C3374"/>
    <w:rsid w:val="003E79DB"/>
    <w:rsid w:val="004357EC"/>
    <w:rsid w:val="00466044"/>
    <w:rsid w:val="00515658"/>
    <w:rsid w:val="005232F7"/>
    <w:rsid w:val="00530419"/>
    <w:rsid w:val="005E53EE"/>
    <w:rsid w:val="006D6CD5"/>
    <w:rsid w:val="006F43D5"/>
    <w:rsid w:val="00790F7F"/>
    <w:rsid w:val="0079625A"/>
    <w:rsid w:val="007A130B"/>
    <w:rsid w:val="00831AC8"/>
    <w:rsid w:val="008918AB"/>
    <w:rsid w:val="008978BE"/>
    <w:rsid w:val="008E1E59"/>
    <w:rsid w:val="008F73F5"/>
    <w:rsid w:val="00934D84"/>
    <w:rsid w:val="009350E3"/>
    <w:rsid w:val="00937DEA"/>
    <w:rsid w:val="009437D5"/>
    <w:rsid w:val="0094452F"/>
    <w:rsid w:val="009622B7"/>
    <w:rsid w:val="009E4A0A"/>
    <w:rsid w:val="009E7AEC"/>
    <w:rsid w:val="00A771CC"/>
    <w:rsid w:val="00AD2554"/>
    <w:rsid w:val="00AF177C"/>
    <w:rsid w:val="00B544D1"/>
    <w:rsid w:val="00B6178C"/>
    <w:rsid w:val="00B65B01"/>
    <w:rsid w:val="00CA05B2"/>
    <w:rsid w:val="00CB142D"/>
    <w:rsid w:val="00D015F5"/>
    <w:rsid w:val="00D433EE"/>
    <w:rsid w:val="00EA1A78"/>
    <w:rsid w:val="00EF7B72"/>
    <w:rsid w:val="00F078B3"/>
    <w:rsid w:val="00F84F9D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0606"/>
  <w15:chartTrackingRefBased/>
  <w15:docId w15:val="{EA15E75B-858A-4F2E-A803-15FFA55F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9A59-BF01-468B-823D-8D6AE049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Waythe</dc:creator>
  <cp:keywords/>
  <dc:description/>
  <cp:lastModifiedBy>Margaret Hooks</cp:lastModifiedBy>
  <cp:revision>4</cp:revision>
  <dcterms:created xsi:type="dcterms:W3CDTF">2024-02-01T14:49:00Z</dcterms:created>
  <dcterms:modified xsi:type="dcterms:W3CDTF">2024-03-13T13:25:00Z</dcterms:modified>
</cp:coreProperties>
</file>